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6E4E83" w:rsidRPr="003E4C49" w:rsidRDefault="006E4E83" w:rsidP="006E4E83">
      <w:pPr>
        <w:jc w:val="both"/>
        <w:rPr>
          <w:rFonts w:ascii="Arial" w:hAnsi="Arial" w:cs="Arial"/>
          <w:caps/>
        </w:rPr>
      </w:pPr>
    </w:p>
    <w:p w14:paraId="3BE1D039" w14:textId="77777777" w:rsidR="00943927" w:rsidRPr="00D87CE0" w:rsidRDefault="00943927" w:rsidP="00943927">
      <w:pPr>
        <w:spacing w:before="240" w:after="240" w:line="271"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637FFC9F" wp14:editId="400B3DF2">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D87CE0">
        <w:rPr>
          <w:rFonts w:ascii="Arial" w:hAnsi="Arial" w:cs="Arial"/>
          <w:b/>
          <w:bCs/>
          <w:color w:val="2F5496" w:themeColor="accent1" w:themeShade="BF"/>
          <w:sz w:val="56"/>
          <w:szCs w:val="56"/>
        </w:rPr>
        <w:t>INTEGROVANÝ REGIONÁLNÍ OPERAČNÍ PROGRAM</w:t>
      </w:r>
    </w:p>
    <w:p w14:paraId="5DC0EDE1" w14:textId="77777777" w:rsidR="00943927" w:rsidRPr="00D32E25" w:rsidRDefault="00943927" w:rsidP="00943927">
      <w:pPr>
        <w:spacing w:before="240" w:after="240" w:line="271" w:lineRule="auto"/>
        <w:jc w:val="center"/>
        <w:rPr>
          <w:rFonts w:ascii="Arial" w:hAnsi="Arial" w:cs="Arial"/>
          <w:b/>
          <w:bCs/>
          <w:color w:val="2F5496" w:themeColor="accent1" w:themeShade="BF"/>
          <w:sz w:val="48"/>
          <w:szCs w:val="48"/>
        </w:rPr>
      </w:pPr>
      <w:r w:rsidRPr="00D32E25">
        <w:rPr>
          <w:rFonts w:ascii="Arial" w:hAnsi="Arial" w:cs="Arial"/>
          <w:b/>
          <w:bCs/>
          <w:color w:val="2F5496" w:themeColor="accent1" w:themeShade="BF"/>
          <w:sz w:val="48"/>
          <w:szCs w:val="48"/>
        </w:rPr>
        <w:t>2021</w:t>
      </w:r>
      <w:r w:rsidRPr="00D32E25">
        <w:rPr>
          <w:rFonts w:ascii="Arial" w:eastAsia="SimSun" w:hAnsi="Arial" w:cs="Arial"/>
          <w:b/>
          <w:bCs/>
          <w:color w:val="2F5496"/>
          <w:sz w:val="48"/>
          <w:szCs w:val="48"/>
          <w:lang w:eastAsia="zh-CN"/>
        </w:rPr>
        <w:t>–</w:t>
      </w:r>
      <w:r w:rsidRPr="00D32E25">
        <w:rPr>
          <w:rFonts w:ascii="Arial" w:hAnsi="Arial" w:cs="Arial"/>
          <w:b/>
          <w:bCs/>
          <w:color w:val="2F5496" w:themeColor="accent1" w:themeShade="BF"/>
          <w:sz w:val="48"/>
          <w:szCs w:val="48"/>
        </w:rPr>
        <w:t>2027</w:t>
      </w:r>
    </w:p>
    <w:p w14:paraId="21751CD5" w14:textId="77777777" w:rsidR="00943927" w:rsidRPr="00D87CE0" w:rsidRDefault="00943927" w:rsidP="00943927">
      <w:pPr>
        <w:pStyle w:val="Zkladnodstavec"/>
        <w:spacing w:before="240" w:after="240" w:line="271" w:lineRule="auto"/>
        <w:jc w:val="center"/>
        <w:rPr>
          <w:rFonts w:ascii="Arial" w:hAnsi="Arial" w:cs="Arial"/>
          <w:b/>
          <w:bCs/>
          <w:color w:val="2F5496" w:themeColor="accent1" w:themeShade="BF"/>
          <w:sz w:val="56"/>
          <w:szCs w:val="56"/>
        </w:rPr>
      </w:pPr>
      <w:r w:rsidRPr="00D87CE0">
        <w:rPr>
          <w:rFonts w:ascii="Arial" w:hAnsi="Arial" w:cs="Arial"/>
          <w:b/>
          <w:bCs/>
          <w:color w:val="2F5496" w:themeColor="accent1" w:themeShade="BF"/>
          <w:sz w:val="56"/>
          <w:szCs w:val="56"/>
        </w:rPr>
        <w:t>SPECIFICKÁ PRAVIDLA PRO ŽADATELE A PŘÍJEMCE</w:t>
      </w:r>
    </w:p>
    <w:p w14:paraId="07AC1835" w14:textId="6D309A7B" w:rsidR="006E4E83" w:rsidRPr="003E4C49" w:rsidRDefault="006E4E83" w:rsidP="006E4E83">
      <w:pPr>
        <w:pStyle w:val="Zkladnodstavec"/>
        <w:jc w:val="center"/>
        <w:rPr>
          <w:rFonts w:ascii="Arial" w:hAnsi="Arial" w:cs="Arial"/>
          <w:b/>
          <w:bCs/>
          <w:color w:val="2F5496" w:themeColor="accent1" w:themeShade="BF"/>
          <w:sz w:val="44"/>
          <w:szCs w:val="44"/>
        </w:rPr>
      </w:pPr>
      <w:r w:rsidRPr="003E4C49">
        <w:rPr>
          <w:rFonts w:ascii="Arial" w:hAnsi="Arial" w:cs="Arial"/>
          <w:b/>
          <w:bCs/>
          <w:color w:val="2F5496" w:themeColor="accent1" w:themeShade="BF"/>
          <w:sz w:val="44"/>
          <w:szCs w:val="44"/>
        </w:rPr>
        <w:t xml:space="preserve">PŘÍLOHA </w:t>
      </w:r>
      <w:r w:rsidR="0023489D">
        <w:rPr>
          <w:rFonts w:ascii="Arial" w:hAnsi="Arial" w:cs="Arial"/>
          <w:b/>
          <w:bCs/>
          <w:color w:val="2F5496" w:themeColor="accent1" w:themeShade="BF"/>
          <w:sz w:val="44"/>
          <w:szCs w:val="44"/>
        </w:rPr>
        <w:t>1</w:t>
      </w:r>
      <w:r w:rsidR="00DB6402">
        <w:rPr>
          <w:rFonts w:ascii="Arial" w:hAnsi="Arial" w:cs="Arial"/>
          <w:b/>
          <w:bCs/>
          <w:color w:val="2F5496" w:themeColor="accent1" w:themeShade="BF"/>
          <w:sz w:val="44"/>
          <w:szCs w:val="44"/>
        </w:rPr>
        <w:t>1</w:t>
      </w:r>
    </w:p>
    <w:p w14:paraId="20500979" w14:textId="4E5018AE" w:rsidR="006E4E83" w:rsidRPr="006E4E83" w:rsidRDefault="006E4E83" w:rsidP="00943927">
      <w:pPr>
        <w:pStyle w:val="Zkladnodstavec"/>
        <w:jc w:val="center"/>
        <w:rPr>
          <w:rFonts w:ascii="Arial" w:hAnsi="Arial" w:cs="Arial"/>
          <w:b/>
          <w:bCs/>
          <w:color w:val="2F5496" w:themeColor="accent1" w:themeShade="BF"/>
          <w:sz w:val="44"/>
          <w:szCs w:val="44"/>
        </w:rPr>
      </w:pPr>
      <w:r w:rsidRPr="1083D0E6">
        <w:rPr>
          <w:rFonts w:ascii="Arial" w:hAnsi="Arial" w:cs="Arial"/>
          <w:b/>
          <w:bCs/>
          <w:color w:val="2F5496" w:themeColor="accent1" w:themeShade="BF"/>
          <w:sz w:val="44"/>
          <w:szCs w:val="44"/>
        </w:rPr>
        <w:t xml:space="preserve">Návod na vyplnění přílohy </w:t>
      </w:r>
      <w:r w:rsidR="0023489D" w:rsidRPr="1083D0E6">
        <w:rPr>
          <w:rFonts w:ascii="Arial" w:hAnsi="Arial" w:cs="Arial"/>
          <w:b/>
          <w:bCs/>
          <w:color w:val="2F5496" w:themeColor="accent1" w:themeShade="BF"/>
          <w:sz w:val="44"/>
          <w:szCs w:val="44"/>
        </w:rPr>
        <w:t>1</w:t>
      </w:r>
      <w:r w:rsidR="00023067">
        <w:rPr>
          <w:rFonts w:ascii="Arial" w:hAnsi="Arial" w:cs="Arial"/>
          <w:b/>
          <w:bCs/>
          <w:color w:val="2F5496" w:themeColor="accent1" w:themeShade="BF"/>
          <w:sz w:val="44"/>
          <w:szCs w:val="44"/>
        </w:rPr>
        <w:t>0</w:t>
      </w:r>
      <w:r w:rsidRPr="1083D0E6">
        <w:rPr>
          <w:rFonts w:ascii="Arial" w:hAnsi="Arial" w:cs="Arial"/>
          <w:b/>
          <w:bCs/>
          <w:color w:val="2F5496" w:themeColor="accent1" w:themeShade="BF"/>
          <w:sz w:val="44"/>
          <w:szCs w:val="44"/>
        </w:rPr>
        <w:t xml:space="preserve"> Modelu výpočtu kompenzačního mechanismu v souladu s </w:t>
      </w:r>
      <w:r w:rsidR="1D0B8AB0" w:rsidRPr="1083D0E6">
        <w:rPr>
          <w:rFonts w:ascii="Arial" w:hAnsi="Arial" w:cs="Arial"/>
          <w:b/>
          <w:bCs/>
          <w:color w:val="2F5496" w:themeColor="accent1" w:themeShade="BF"/>
          <w:sz w:val="44"/>
          <w:szCs w:val="44"/>
        </w:rPr>
        <w:t>r</w:t>
      </w:r>
      <w:r w:rsidRPr="1083D0E6">
        <w:rPr>
          <w:rFonts w:ascii="Arial" w:hAnsi="Arial" w:cs="Arial"/>
          <w:b/>
          <w:bCs/>
          <w:color w:val="2F5496" w:themeColor="accent1" w:themeShade="BF"/>
          <w:sz w:val="44"/>
          <w:szCs w:val="44"/>
        </w:rPr>
        <w:t>ozhodnutím Komise 2012/21/EU</w:t>
      </w:r>
    </w:p>
    <w:p w14:paraId="7F71D6D5" w14:textId="71CFB2FC" w:rsidR="00943927" w:rsidRPr="00370C2C" w:rsidRDefault="00E71895" w:rsidP="00943927">
      <w:pPr>
        <w:pStyle w:val="Zkladnodstavec"/>
        <w:jc w:val="center"/>
        <w:rPr>
          <w:rFonts w:ascii="Arial" w:hAnsi="Arial" w:cs="Arial"/>
          <w:caps/>
          <w:color w:val="auto"/>
          <w:sz w:val="34"/>
          <w:szCs w:val="34"/>
        </w:rPr>
      </w:pPr>
      <w:r>
        <w:rPr>
          <w:rFonts w:ascii="Arial" w:hAnsi="Arial" w:cs="Arial"/>
          <w:caps/>
          <w:color w:val="auto"/>
          <w:sz w:val="34"/>
          <w:szCs w:val="34"/>
        </w:rPr>
        <w:t>38</w:t>
      </w:r>
      <w:r w:rsidR="00943927" w:rsidRPr="00370C2C">
        <w:rPr>
          <w:rFonts w:ascii="Arial" w:hAnsi="Arial" w:cs="Arial"/>
          <w:caps/>
          <w:color w:val="auto"/>
          <w:sz w:val="34"/>
          <w:szCs w:val="34"/>
        </w:rPr>
        <w:t xml:space="preserve">. výzva IROP </w:t>
      </w:r>
      <w:r w:rsidR="00943927" w:rsidRPr="00370C2C">
        <w:rPr>
          <w:rFonts w:ascii="Arial" w:hAnsi="Arial" w:cs="Arial"/>
          <w:sz w:val="34"/>
          <w:szCs w:val="34"/>
        </w:rPr>
        <w:t xml:space="preserve">– SOCIÁLNÍ BYDLENÍ </w:t>
      </w:r>
      <w:r>
        <w:rPr>
          <w:rFonts w:ascii="Arial" w:hAnsi="Arial" w:cs="Arial"/>
          <w:sz w:val="34"/>
          <w:szCs w:val="34"/>
        </w:rPr>
        <w:t xml:space="preserve">(ITI) </w:t>
      </w:r>
      <w:r w:rsidR="00943927" w:rsidRPr="00370C2C">
        <w:rPr>
          <w:rFonts w:ascii="Arial" w:hAnsi="Arial" w:cs="Arial"/>
          <w:sz w:val="34"/>
          <w:szCs w:val="34"/>
        </w:rPr>
        <w:t>– SC 4.2 (MRR</w:t>
      </w:r>
      <w:r>
        <w:rPr>
          <w:rFonts w:ascii="Arial" w:hAnsi="Arial" w:cs="Arial"/>
          <w:sz w:val="34"/>
          <w:szCs w:val="34"/>
        </w:rPr>
        <w:t>, PR</w:t>
      </w:r>
      <w:r w:rsidR="00943927" w:rsidRPr="00370C2C">
        <w:rPr>
          <w:rFonts w:ascii="Arial" w:hAnsi="Arial" w:cs="Arial"/>
          <w:sz w:val="34"/>
          <w:szCs w:val="34"/>
        </w:rPr>
        <w:t>)</w:t>
      </w:r>
    </w:p>
    <w:p w14:paraId="41A7F16C" w14:textId="77777777" w:rsidR="00E71895" w:rsidRDefault="00E71895" w:rsidP="00943927">
      <w:pPr>
        <w:jc w:val="center"/>
        <w:rPr>
          <w:rFonts w:ascii="Arial" w:hAnsi="Arial" w:cs="Arial"/>
          <w:caps/>
          <w:color w:val="7F7F7F" w:themeColor="text1" w:themeTint="80"/>
          <w:sz w:val="24"/>
          <w:szCs w:val="24"/>
        </w:rPr>
      </w:pPr>
    </w:p>
    <w:p w14:paraId="35A78427" w14:textId="49684EE8" w:rsidR="00943927" w:rsidRDefault="00943927" w:rsidP="00943927">
      <w:pPr>
        <w:jc w:val="center"/>
        <w:rPr>
          <w:rFonts w:ascii="Arial" w:hAnsi="Arial" w:cs="Arial"/>
          <w:caps/>
          <w:color w:val="7F7F7F" w:themeColor="text1" w:themeTint="80"/>
          <w:sz w:val="32"/>
          <w:szCs w:val="32"/>
        </w:rPr>
        <w:sectPr w:rsidR="00943927" w:rsidSect="0028208C">
          <w:headerReference w:type="default" r:id="rId11"/>
          <w:footerReference w:type="default" r:id="rId12"/>
          <w:pgSz w:w="11906" w:h="16838"/>
          <w:pgMar w:top="1418" w:right="1418"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191D1D5" w14:textId="37E556B1" w:rsidR="006E4E83" w:rsidRPr="00BD477A" w:rsidRDefault="006E4E83" w:rsidP="00232570">
      <w:pPr>
        <w:keepNext/>
        <w:jc w:val="both"/>
        <w:rPr>
          <w:rFonts w:ascii="Arial" w:hAnsi="Arial" w:cs="Arial"/>
          <w:b/>
          <w:smallCaps/>
          <w:sz w:val="24"/>
          <w:szCs w:val="24"/>
        </w:rPr>
      </w:pPr>
      <w:r w:rsidRPr="00BD477A">
        <w:rPr>
          <w:rFonts w:ascii="Arial" w:hAnsi="Arial" w:cs="Arial"/>
          <w:b/>
          <w:smallCaps/>
          <w:sz w:val="24"/>
          <w:szCs w:val="24"/>
        </w:rPr>
        <w:lastRenderedPageBreak/>
        <w:t xml:space="preserve">Návod na vyplnění přílohy č. </w:t>
      </w:r>
      <w:r w:rsidR="0023489D" w:rsidRPr="00BD477A">
        <w:rPr>
          <w:rFonts w:ascii="Arial" w:hAnsi="Arial" w:cs="Arial"/>
          <w:b/>
          <w:smallCaps/>
          <w:sz w:val="24"/>
          <w:szCs w:val="24"/>
        </w:rPr>
        <w:t>1</w:t>
      </w:r>
      <w:r w:rsidR="00DB6402">
        <w:rPr>
          <w:rFonts w:ascii="Arial" w:hAnsi="Arial" w:cs="Arial"/>
          <w:b/>
          <w:smallCaps/>
          <w:sz w:val="24"/>
          <w:szCs w:val="24"/>
        </w:rPr>
        <w:t>0</w:t>
      </w:r>
      <w:bookmarkStart w:id="0" w:name="_GoBack"/>
      <w:bookmarkEnd w:id="0"/>
      <w:r w:rsidRPr="00BD477A">
        <w:rPr>
          <w:rFonts w:ascii="Arial" w:hAnsi="Arial" w:cs="Arial"/>
          <w:b/>
          <w:smallCaps/>
          <w:sz w:val="24"/>
          <w:szCs w:val="24"/>
        </w:rPr>
        <w:t xml:space="preserve"> Modelu výpočtu kompenzačního mechanismu v souladu s rozhodnutím Komise 2012/21/EU na zjištění výše vyrovnávací platby </w:t>
      </w:r>
    </w:p>
    <w:p w14:paraId="4A78AD10" w14:textId="77777777" w:rsidR="006E4E83" w:rsidRPr="00232570" w:rsidRDefault="006E4E83" w:rsidP="00232570">
      <w:pPr>
        <w:jc w:val="both"/>
        <w:rPr>
          <w:rFonts w:ascii="Arial" w:hAnsi="Arial" w:cs="Arial"/>
        </w:rPr>
      </w:pPr>
      <w:r w:rsidRPr="00232570">
        <w:rPr>
          <w:rFonts w:ascii="Arial" w:hAnsi="Arial" w:cs="Arial"/>
        </w:rPr>
        <w:t xml:space="preserve">V modelu žadatel vyplňuje pouze žlutě podbarvené buňky. Hodnoty se vyplňují v příslušných jednotkách. </w:t>
      </w:r>
    </w:p>
    <w:p w14:paraId="031694ED" w14:textId="77777777" w:rsidR="006E4E83" w:rsidRPr="00232570" w:rsidRDefault="006E4E83" w:rsidP="00232570">
      <w:pPr>
        <w:jc w:val="both"/>
        <w:rPr>
          <w:rFonts w:ascii="Arial" w:hAnsi="Arial" w:cs="Arial"/>
        </w:rPr>
      </w:pPr>
      <w:r w:rsidRPr="00232570">
        <w:rPr>
          <w:rFonts w:ascii="Arial" w:hAnsi="Arial" w:cs="Arial"/>
          <w:b/>
        </w:rPr>
        <w:t>Počet bytů</w:t>
      </w:r>
      <w:r w:rsidRPr="00232570">
        <w:rPr>
          <w:rFonts w:ascii="Arial" w:hAnsi="Arial" w:cs="Arial"/>
        </w:rPr>
        <w:t xml:space="preserve"> – žadatel o podporu uvádí celkový počet bytů v nemovitosti, užívaných pro poskytování sociálního bydlení, které budou financovány v rámci žádosti o podporu IROP a které budou předány do užívání v jednom okamžiku.</w:t>
      </w:r>
    </w:p>
    <w:p w14:paraId="662D660F" w14:textId="0B84916B" w:rsidR="006E4E83" w:rsidRPr="00232570" w:rsidRDefault="006E4E83" w:rsidP="00232570">
      <w:pPr>
        <w:jc w:val="both"/>
        <w:rPr>
          <w:rFonts w:ascii="Arial" w:hAnsi="Arial" w:cs="Arial"/>
        </w:rPr>
      </w:pPr>
      <w:r w:rsidRPr="00232570">
        <w:rPr>
          <w:rFonts w:ascii="Arial" w:hAnsi="Arial" w:cs="Arial"/>
          <w:b/>
        </w:rPr>
        <w:t>Podlahová plocha (m</w:t>
      </w:r>
      <w:r w:rsidRPr="00232570">
        <w:rPr>
          <w:rFonts w:ascii="Arial" w:hAnsi="Arial" w:cs="Arial"/>
          <w:b/>
          <w:vertAlign w:val="superscript"/>
        </w:rPr>
        <w:t>2</w:t>
      </w:r>
      <w:r w:rsidRPr="00232570">
        <w:rPr>
          <w:rFonts w:ascii="Arial" w:hAnsi="Arial" w:cs="Arial"/>
          <w:b/>
        </w:rPr>
        <w:t>)</w:t>
      </w:r>
      <w:r w:rsidRPr="00232570">
        <w:rPr>
          <w:rFonts w:ascii="Arial" w:hAnsi="Arial" w:cs="Arial"/>
        </w:rPr>
        <w:t xml:space="preserve"> </w:t>
      </w:r>
    </w:p>
    <w:p w14:paraId="55FFF0A1" w14:textId="0F3BFDCE" w:rsidR="006E4E83" w:rsidRPr="00232570" w:rsidRDefault="006E4E83" w:rsidP="00232570">
      <w:pPr>
        <w:jc w:val="both"/>
        <w:rPr>
          <w:rFonts w:ascii="Arial" w:hAnsi="Arial" w:cs="Arial"/>
        </w:rPr>
      </w:pPr>
      <w:r w:rsidRPr="1083D0E6">
        <w:rPr>
          <w:rFonts w:ascii="Arial" w:hAnsi="Arial" w:cs="Arial"/>
        </w:rPr>
        <w:t>Pro stanovení velikosti podlahové plochy se využije nařízení vlády č. 366/2013 Sb.</w:t>
      </w:r>
      <w:r w:rsidR="00D67B70">
        <w:rPr>
          <w:rFonts w:ascii="Arial" w:hAnsi="Arial" w:cs="Arial"/>
        </w:rPr>
        <w:t xml:space="preserve">, </w:t>
      </w:r>
      <w:r w:rsidR="00D67B70" w:rsidRPr="00D67B70">
        <w:rPr>
          <w:rFonts w:ascii="Arial" w:hAnsi="Arial" w:cs="Arial"/>
        </w:rPr>
        <w:t>o úpravě některých záležitostí souvisejících s bytovým spoluvlastnictvím</w:t>
      </w:r>
      <w:r w:rsidR="00D67B70">
        <w:rPr>
          <w:rFonts w:ascii="Arial" w:hAnsi="Arial" w:cs="Arial"/>
        </w:rPr>
        <w:t>, ve znění pozdějších předpisů (dále jen „nařízení vlády č. 366/2013 Sb.“)</w:t>
      </w:r>
      <w:r w:rsidRPr="1083D0E6">
        <w:rPr>
          <w:rFonts w:ascii="Arial" w:hAnsi="Arial" w:cs="Arial"/>
        </w:rPr>
        <w:t xml:space="preserve">: prováděcí předpis k zákonu č. 89/2012 Sb., občanský zákoník, ve znění pozdějších předpisů, konkrétně k části upravující bytové spoluvlastnictví. </w:t>
      </w:r>
    </w:p>
    <w:p w14:paraId="52C796CE" w14:textId="77777777" w:rsidR="006E4E83" w:rsidRPr="00232570" w:rsidRDefault="006E4E83" w:rsidP="00232570">
      <w:pPr>
        <w:jc w:val="both"/>
        <w:rPr>
          <w:rFonts w:ascii="Arial" w:hAnsi="Arial" w:cs="Arial"/>
          <w:b/>
        </w:rPr>
      </w:pPr>
      <w:r w:rsidRPr="00232570">
        <w:rPr>
          <w:rFonts w:ascii="Arial" w:hAnsi="Arial" w:cs="Arial"/>
        </w:rPr>
        <w:t>Nařízení vlády č. 366/2013 Sb. (§ 3 odst. 1-4):</w:t>
      </w:r>
    </w:p>
    <w:p w14:paraId="3BCA75EC" w14:textId="77777777" w:rsidR="006E4E83" w:rsidRPr="00232570" w:rsidRDefault="006E4E83" w:rsidP="00232570">
      <w:pPr>
        <w:jc w:val="both"/>
        <w:rPr>
          <w:rFonts w:ascii="Arial" w:hAnsi="Arial" w:cs="Arial"/>
          <w:b/>
        </w:rPr>
      </w:pPr>
      <w:r w:rsidRPr="00232570">
        <w:rPr>
          <w:rFonts w:ascii="Arial" w:hAnsi="Arial" w:cs="Arial"/>
          <w:b/>
        </w:rPr>
        <w:t>Způsob výpočtu podlahové plochy bytu v jednotce</w:t>
      </w:r>
    </w:p>
    <w:p w14:paraId="045FDEAD" w14:textId="77777777" w:rsidR="006E4E83" w:rsidRPr="00232570" w:rsidRDefault="006E4E83" w:rsidP="00232570">
      <w:pPr>
        <w:ind w:left="709"/>
        <w:jc w:val="both"/>
        <w:rPr>
          <w:rFonts w:ascii="Arial" w:hAnsi="Arial" w:cs="Arial"/>
        </w:rPr>
      </w:pPr>
      <w:r w:rsidRPr="00232570">
        <w:rPr>
          <w:rFonts w:ascii="Arial" w:hAnsi="Arial" w:cs="Arial"/>
        </w:rPr>
        <w:t>(1)</w:t>
      </w:r>
      <w:r w:rsidRPr="00232570">
        <w:rPr>
          <w:rFonts w:ascii="Arial" w:hAnsi="Arial" w:cs="Arial"/>
        </w:rPr>
        <w:tab/>
        <w:t>Podlahovou plochu bytu v jednotce tvoří půdorysná plocha všech místností bytu včetně půdorysné plochy všech svislých nosných i nenosných konstrukcí uvnitř bytu, jako jsou stěny, sloupy, pilíře, komíny a obdobné svislé konstrukce. Půdorysná plocha je vymezena vnitřním lícem svislých konstrukcí ohraničujících byt včetně jejich povrchových úprav. Započítává se také podlahová plocha zakrytá zabudovanými předměty, jako jsou zejména skříně ve zdech v bytě, vany a jiné zařizovací předměty ve vnitřní ploše bytu.</w:t>
      </w:r>
    </w:p>
    <w:p w14:paraId="29FB34F6" w14:textId="77777777" w:rsidR="006E4E83" w:rsidRPr="00232570" w:rsidRDefault="006E4E83" w:rsidP="00232570">
      <w:pPr>
        <w:ind w:left="709"/>
        <w:jc w:val="both"/>
        <w:rPr>
          <w:rFonts w:ascii="Arial" w:hAnsi="Arial" w:cs="Arial"/>
        </w:rPr>
      </w:pPr>
      <w:r w:rsidRPr="00232570">
        <w:rPr>
          <w:rFonts w:ascii="Arial" w:hAnsi="Arial" w:cs="Arial"/>
        </w:rPr>
        <w:t>(2)</w:t>
      </w:r>
      <w:r w:rsidRPr="00232570">
        <w:rPr>
          <w:rFonts w:ascii="Arial" w:hAnsi="Arial" w:cs="Arial"/>
        </w:rPr>
        <w:tab/>
        <w:t>Podlahovou plochu mezonetového bytu umístěného ve dvou nebo více podlažích spojených schodištěm uvnitř bytu tvoří půdorysná plocha všech místností vypočtená způsobem stanoveným v odstavci 1 a plocha pouze dolního průmětu schodiště.</w:t>
      </w:r>
    </w:p>
    <w:p w14:paraId="1C017AD1" w14:textId="77777777" w:rsidR="006E4E83" w:rsidRPr="00232570" w:rsidRDefault="006E4E83" w:rsidP="00232570">
      <w:pPr>
        <w:ind w:left="709"/>
        <w:jc w:val="both"/>
        <w:rPr>
          <w:rFonts w:ascii="Arial" w:hAnsi="Arial" w:cs="Arial"/>
        </w:rPr>
      </w:pPr>
      <w:r w:rsidRPr="00232570">
        <w:rPr>
          <w:rFonts w:ascii="Arial" w:hAnsi="Arial" w:cs="Arial"/>
        </w:rPr>
        <w:t>(3)</w:t>
      </w:r>
      <w:r w:rsidRPr="00232570">
        <w:rPr>
          <w:rFonts w:ascii="Arial" w:hAnsi="Arial" w:cs="Arial"/>
        </w:rPr>
        <w:tab/>
        <w:t>V případě bytu s galerií, kdy je horní prostor bytu propojen s dolním prostorem schodištěm, se podlahová plocha galerie započítává jako podlahová plocha místnosti, pokud podchodná výška tohoto prostoru dosahuje alespoň 230 cm, i když není zcela stavebně uzavřena všemi stěnami; započítává se současně plocha dolní místnosti, má-li alespoň stejnou podchodnou výšku, a plocha dolního průmětu schodiště. Pokud podmínky minimální podchodné výšky nejsou splněny, započte se pouze plocha dolní místnosti.</w:t>
      </w:r>
    </w:p>
    <w:p w14:paraId="30D4350F" w14:textId="77777777" w:rsidR="006E4E83" w:rsidRPr="00232570" w:rsidRDefault="006E4E83" w:rsidP="00232570">
      <w:pPr>
        <w:ind w:left="709"/>
        <w:jc w:val="both"/>
        <w:rPr>
          <w:rFonts w:ascii="Arial" w:hAnsi="Arial" w:cs="Arial"/>
        </w:rPr>
      </w:pPr>
      <w:r w:rsidRPr="00232570">
        <w:rPr>
          <w:rFonts w:ascii="Arial" w:hAnsi="Arial" w:cs="Arial"/>
        </w:rPr>
        <w:t>(4)</w:t>
      </w:r>
      <w:r w:rsidRPr="00232570">
        <w:rPr>
          <w:rFonts w:ascii="Arial" w:hAnsi="Arial" w:cs="Arial"/>
        </w:rPr>
        <w:tab/>
        <w:t>Vypočtená podlahová plocha bytu podle odstavců 1 až 3 se uvádí v m</w:t>
      </w:r>
      <w:r w:rsidRPr="00232570">
        <w:rPr>
          <w:rFonts w:ascii="Arial" w:hAnsi="Arial" w:cs="Arial"/>
          <w:vertAlign w:val="superscript"/>
        </w:rPr>
        <w:t>2</w:t>
      </w:r>
      <w:r w:rsidRPr="00232570">
        <w:rPr>
          <w:rFonts w:ascii="Arial" w:hAnsi="Arial" w:cs="Arial"/>
        </w:rPr>
        <w:t xml:space="preserve"> a zaokrouhluje na jedno desetinné místo tak, že pět setin m</w:t>
      </w:r>
      <w:r w:rsidRPr="00232570">
        <w:rPr>
          <w:rFonts w:ascii="Arial" w:hAnsi="Arial" w:cs="Arial"/>
          <w:vertAlign w:val="superscript"/>
        </w:rPr>
        <w:t xml:space="preserve">2 </w:t>
      </w:r>
      <w:r w:rsidRPr="00232570">
        <w:rPr>
          <w:rFonts w:ascii="Arial" w:hAnsi="Arial" w:cs="Arial"/>
        </w:rPr>
        <w:t>a více se zaokrouhluje směrem nahoru, k méně než pěti setinám m</w:t>
      </w:r>
      <w:r w:rsidRPr="00232570">
        <w:rPr>
          <w:rFonts w:ascii="Arial" w:hAnsi="Arial" w:cs="Arial"/>
          <w:vertAlign w:val="superscript"/>
        </w:rPr>
        <w:t xml:space="preserve">2 </w:t>
      </w:r>
      <w:r w:rsidRPr="00232570">
        <w:rPr>
          <w:rFonts w:ascii="Arial" w:hAnsi="Arial" w:cs="Arial"/>
        </w:rPr>
        <w:t>se nepřihlíží.</w:t>
      </w:r>
    </w:p>
    <w:p w14:paraId="3D350A88" w14:textId="77777777" w:rsidR="006E4E83" w:rsidRPr="00232570" w:rsidRDefault="006E4E83" w:rsidP="00232570">
      <w:pPr>
        <w:jc w:val="both"/>
        <w:rPr>
          <w:rFonts w:ascii="Arial" w:hAnsi="Arial" w:cs="Arial"/>
        </w:rPr>
      </w:pPr>
      <w:r w:rsidRPr="00232570">
        <w:rPr>
          <w:rFonts w:ascii="Arial" w:hAnsi="Arial" w:cs="Arial"/>
          <w:b/>
        </w:rPr>
        <w:t>Rozpočet projektu</w:t>
      </w:r>
      <w:r w:rsidRPr="00232570">
        <w:rPr>
          <w:rFonts w:ascii="Arial" w:hAnsi="Arial" w:cs="Arial"/>
        </w:rPr>
        <w:t xml:space="preserve"> – žadatel o podporu vyplní položky rozpočtu projektu v souladu s požadavky na vyplnění uvedenými v uživatelské příručce Postup pro podání </w:t>
      </w:r>
      <w:r w:rsidRPr="00232570">
        <w:rPr>
          <w:rFonts w:ascii="Arial" w:hAnsi="Arial" w:cs="Arial"/>
          <w:color w:val="000000" w:themeColor="text1"/>
        </w:rPr>
        <w:t>žádosti o podporu v MS2021+</w:t>
      </w:r>
      <w:r w:rsidRPr="00232570">
        <w:rPr>
          <w:rFonts w:ascii="Arial" w:hAnsi="Arial" w:cs="Arial"/>
        </w:rPr>
        <w:t xml:space="preserve">. </w:t>
      </w:r>
    </w:p>
    <w:p w14:paraId="78AAA1AC" w14:textId="77777777" w:rsidR="00232570" w:rsidRPr="00370C2C" w:rsidRDefault="00232570" w:rsidP="00232570">
      <w:pPr>
        <w:pStyle w:val="Nadpis1"/>
        <w:rPr>
          <w:rFonts w:ascii="Arial" w:hAnsi="Arial" w:cs="Arial"/>
          <w:bCs/>
        </w:rPr>
      </w:pPr>
      <w:r w:rsidRPr="00370C2C">
        <w:rPr>
          <w:rFonts w:ascii="Arial" w:hAnsi="Arial" w:cs="Arial"/>
          <w:bCs/>
        </w:rPr>
        <w:lastRenderedPageBreak/>
        <w:t xml:space="preserve">Provozní výdaje </w:t>
      </w:r>
    </w:p>
    <w:p w14:paraId="5D35E068" w14:textId="77777777" w:rsidR="006E4E83" w:rsidRPr="00232570" w:rsidRDefault="006E4E83" w:rsidP="00232570">
      <w:pPr>
        <w:jc w:val="both"/>
        <w:rPr>
          <w:rFonts w:ascii="Arial" w:hAnsi="Arial" w:cs="Arial"/>
          <w:b/>
        </w:rPr>
      </w:pPr>
      <w:r w:rsidRPr="00232570">
        <w:rPr>
          <w:rFonts w:ascii="Arial" w:hAnsi="Arial" w:cs="Arial"/>
          <w:b/>
        </w:rPr>
        <w:t xml:space="preserve">Provozní výdaje – </w:t>
      </w:r>
      <w:r w:rsidRPr="00232570">
        <w:rPr>
          <w:rFonts w:ascii="Arial" w:hAnsi="Arial" w:cs="Arial"/>
        </w:rPr>
        <w:t xml:space="preserve">veškeré výdaje je nutné vztahovat pouze k části nemovitosti, která je využívána k poskytování SOHZ sociální bydlení. V případě, že je nemovitost využívána i mimo SOHZ sociální bydlení, je nutné výdaje vykazovat příslušným poměrem.  </w:t>
      </w:r>
    </w:p>
    <w:p w14:paraId="7F97130F" w14:textId="77777777" w:rsidR="006E4E83" w:rsidRPr="00232570" w:rsidRDefault="006E4E83" w:rsidP="00232570">
      <w:pPr>
        <w:jc w:val="both"/>
        <w:rPr>
          <w:rFonts w:ascii="Arial" w:hAnsi="Arial" w:cs="Arial"/>
        </w:rPr>
      </w:pPr>
      <w:r w:rsidRPr="1083D0E6">
        <w:rPr>
          <w:rFonts w:ascii="Arial" w:hAnsi="Arial" w:cs="Arial"/>
          <w:b/>
          <w:bCs/>
        </w:rPr>
        <w:t>Údržba a opravy</w:t>
      </w:r>
      <w:r w:rsidRPr="1083D0E6">
        <w:rPr>
          <w:rFonts w:ascii="Arial" w:hAnsi="Arial" w:cs="Arial"/>
        </w:rPr>
        <w:t xml:space="preserve"> v souladu s nařízením vlády č. 308/2015 Sb., o vymezení pojmů běžná údržba a drobné opravy související s užíváním bytu. </w:t>
      </w:r>
    </w:p>
    <w:p w14:paraId="43993C8A" w14:textId="77777777" w:rsidR="006E4E83" w:rsidRPr="00232570" w:rsidRDefault="006E4E83" w:rsidP="00232570">
      <w:pPr>
        <w:pStyle w:val="Odstavecseseznamem"/>
        <w:numPr>
          <w:ilvl w:val="0"/>
          <w:numId w:val="1"/>
        </w:numPr>
        <w:spacing w:before="0" w:after="200" w:line="240" w:lineRule="auto"/>
        <w:rPr>
          <w:rFonts w:cs="Arial"/>
        </w:rPr>
      </w:pPr>
      <w:r w:rsidRPr="00232570">
        <w:rPr>
          <w:rFonts w:cs="Arial"/>
        </w:rPr>
        <w:t xml:space="preserve">Údržba – veškeré účetně prokazatelné výdaje na údržbu pořízeného majetku zpomalující fyzické opatření, předcházející jeho následkům a odstraňující drobnější závady. </w:t>
      </w:r>
    </w:p>
    <w:p w14:paraId="4D426B1F" w14:textId="77777777" w:rsidR="006E4E83" w:rsidRPr="00232570" w:rsidRDefault="006E4E83" w:rsidP="00232570">
      <w:pPr>
        <w:pStyle w:val="Odstavecseseznamem"/>
        <w:numPr>
          <w:ilvl w:val="0"/>
          <w:numId w:val="1"/>
        </w:numPr>
        <w:spacing w:before="0" w:after="200" w:line="240" w:lineRule="auto"/>
        <w:rPr>
          <w:rFonts w:cs="Arial"/>
        </w:rPr>
      </w:pPr>
      <w:r w:rsidRPr="00232570">
        <w:rPr>
          <w:rFonts w:cs="Arial"/>
        </w:rPr>
        <w:t xml:space="preserve">Opravy – veškeré účetně prokazatelné výdaje na opravy pořízeného majetku odstraňující částečné fyzické opotřebení nebo poškození za účelem uvedení do předchozího nebo provozuschopného stavu, a to i za použití jiných než původních materiálů, dílů, součástí nebo technologií, pokud tím nedojde k technickému zhodnocení. </w:t>
      </w:r>
    </w:p>
    <w:p w14:paraId="5D8CFC35" w14:textId="57F936F9" w:rsidR="006E4E83" w:rsidRPr="00232570" w:rsidRDefault="006E4E83" w:rsidP="00D67B70">
      <w:pPr>
        <w:jc w:val="both"/>
        <w:rPr>
          <w:rFonts w:ascii="Arial" w:hAnsi="Arial" w:cs="Arial"/>
          <w:b/>
          <w:bCs/>
        </w:rPr>
      </w:pPr>
      <w:r w:rsidRPr="1083D0E6">
        <w:rPr>
          <w:rFonts w:ascii="Arial" w:hAnsi="Arial" w:cs="Arial"/>
          <w:b/>
          <w:bCs/>
        </w:rPr>
        <w:t xml:space="preserve">Investiční výdaje – </w:t>
      </w:r>
      <w:r w:rsidRPr="1083D0E6">
        <w:rPr>
          <w:rFonts w:ascii="Arial" w:hAnsi="Arial" w:cs="Arial"/>
        </w:rPr>
        <w:t xml:space="preserve">výdaje spojené s investicemi, které vedou k technickému zhodnocení nemovitosti. Technické zhodnocení je dle zákona o účetnictví a </w:t>
      </w:r>
      <w:r w:rsidR="00D67B70">
        <w:rPr>
          <w:rFonts w:ascii="Arial" w:hAnsi="Arial" w:cs="Arial"/>
        </w:rPr>
        <w:t>z</w:t>
      </w:r>
      <w:r w:rsidR="00D67B70" w:rsidRPr="00D67B70">
        <w:rPr>
          <w:rFonts w:ascii="Arial" w:hAnsi="Arial" w:cs="Arial"/>
        </w:rPr>
        <w:t>ákon</w:t>
      </w:r>
      <w:r w:rsidR="00D67B70">
        <w:rPr>
          <w:rFonts w:ascii="Arial" w:hAnsi="Arial" w:cs="Arial"/>
        </w:rPr>
        <w:t xml:space="preserve">a </w:t>
      </w:r>
      <w:r w:rsidR="00D67B70" w:rsidRPr="00D67B70">
        <w:rPr>
          <w:rFonts w:ascii="Arial" w:hAnsi="Arial" w:cs="Arial"/>
        </w:rPr>
        <w:t>České národní rady č. 586/1992 Sb.</w:t>
      </w:r>
      <w:r w:rsidR="00D67B70">
        <w:rPr>
          <w:rFonts w:ascii="Arial" w:hAnsi="Arial" w:cs="Arial"/>
        </w:rPr>
        <w:t xml:space="preserve">, o </w:t>
      </w:r>
      <w:r w:rsidR="00D67B70" w:rsidRPr="00D67B70">
        <w:rPr>
          <w:rFonts w:ascii="Arial" w:hAnsi="Arial" w:cs="Arial"/>
        </w:rPr>
        <w:t>daních z</w:t>
      </w:r>
      <w:r w:rsidR="00D67B70">
        <w:rPr>
          <w:rFonts w:ascii="Arial" w:hAnsi="Arial" w:cs="Arial"/>
        </w:rPr>
        <w:t> </w:t>
      </w:r>
      <w:r w:rsidR="00D67B70" w:rsidRPr="00D67B70">
        <w:rPr>
          <w:rFonts w:ascii="Arial" w:hAnsi="Arial" w:cs="Arial"/>
        </w:rPr>
        <w:t>příjmů</w:t>
      </w:r>
      <w:r w:rsidR="00D67B70">
        <w:rPr>
          <w:rFonts w:ascii="Arial" w:hAnsi="Arial" w:cs="Arial"/>
        </w:rPr>
        <w:t>, ve znění pozdějších předpisů,</w:t>
      </w:r>
      <w:r w:rsidRPr="1083D0E6">
        <w:rPr>
          <w:rFonts w:ascii="Arial" w:hAnsi="Arial" w:cs="Arial"/>
        </w:rPr>
        <w:t xml:space="preserve"> provedení veškerých nástaveb, přístaveb, stavebních úprav, rekonstrukcí a modernizací, pokud u daného majetku za dané účetní a zdaňovací období přesáhnou částku 40 000 Kč.</w:t>
      </w:r>
      <w:r w:rsidRPr="1083D0E6">
        <w:rPr>
          <w:rFonts w:ascii="Arial" w:hAnsi="Arial" w:cs="Arial"/>
          <w:b/>
          <w:bCs/>
        </w:rPr>
        <w:t xml:space="preserve"> </w:t>
      </w:r>
      <w:r w:rsidRPr="1083D0E6">
        <w:rPr>
          <w:rFonts w:ascii="Arial" w:hAnsi="Arial" w:cs="Arial"/>
        </w:rPr>
        <w:t>Veškeré investiční výdaje je nutné vztahovat pouze k části nemovitosti, která je využívána poskytovatelem k výkonu SOHZ sociální bydlení.</w:t>
      </w:r>
    </w:p>
    <w:p w14:paraId="5834BA49" w14:textId="77777777" w:rsidR="006E4E83" w:rsidRPr="00232570" w:rsidRDefault="006E4E83" w:rsidP="00232570">
      <w:pPr>
        <w:jc w:val="both"/>
        <w:rPr>
          <w:rFonts w:ascii="Arial" w:hAnsi="Arial" w:cs="Arial"/>
        </w:rPr>
      </w:pPr>
      <w:r w:rsidRPr="00232570">
        <w:rPr>
          <w:rFonts w:ascii="Arial" w:hAnsi="Arial" w:cs="Arial"/>
          <w:b/>
        </w:rPr>
        <w:t>Mzdové výdaje</w:t>
      </w:r>
      <w:r w:rsidRPr="00232570">
        <w:rPr>
          <w:rFonts w:ascii="Arial" w:hAnsi="Arial" w:cs="Arial"/>
        </w:rPr>
        <w:t xml:space="preserve"> – Mzdové výdaje spojené s poskytováním služeb sociálního pracovníka a domovníka. Veškeré mzdové výdaje je nutné vztahovat pouze k části nemovitosti, která je využívána poskytovatelem k výkonu SOHZ sociální bydlení. Mzdové výdaje hrazeny v rámci jiné SOHZ (jiný pověřovatel k výkonu SOHZ) nesmí být zahrnuty do výpočtu kompenzačního mechanismu na zjištění výše vyrovnávací platby.</w:t>
      </w:r>
    </w:p>
    <w:p w14:paraId="653877E5" w14:textId="77777777" w:rsidR="006E4E83" w:rsidRPr="00232570" w:rsidRDefault="006E4E83" w:rsidP="00232570">
      <w:pPr>
        <w:jc w:val="both"/>
        <w:rPr>
          <w:rFonts w:ascii="Arial" w:hAnsi="Arial" w:cs="Arial"/>
        </w:rPr>
      </w:pPr>
      <w:r w:rsidRPr="00232570">
        <w:rPr>
          <w:rFonts w:ascii="Arial" w:hAnsi="Arial" w:cs="Arial"/>
          <w:b/>
        </w:rPr>
        <w:t>Technické služby</w:t>
      </w:r>
      <w:r w:rsidRPr="00232570">
        <w:rPr>
          <w:rFonts w:ascii="Arial" w:hAnsi="Arial" w:cs="Arial"/>
        </w:rPr>
        <w:t xml:space="preserve"> – výdaje na zajišťování údržby a oprav bytového fondu (vodné a stočné, teplá voda, teplo, výtah, domovní odpad, úklid společných prostor).  </w:t>
      </w:r>
    </w:p>
    <w:p w14:paraId="04430EA4" w14:textId="77777777" w:rsidR="006E4E83" w:rsidRPr="00232570" w:rsidRDefault="006E4E83" w:rsidP="00232570">
      <w:pPr>
        <w:jc w:val="both"/>
        <w:rPr>
          <w:rFonts w:ascii="Arial" w:hAnsi="Arial" w:cs="Arial"/>
        </w:rPr>
      </w:pPr>
      <w:r w:rsidRPr="00232570">
        <w:rPr>
          <w:rFonts w:ascii="Arial" w:hAnsi="Arial" w:cs="Arial"/>
          <w:b/>
        </w:rPr>
        <w:t>Režijní výdaje spojené s provozem domu</w:t>
      </w:r>
      <w:r w:rsidRPr="00232570">
        <w:rPr>
          <w:rFonts w:ascii="Arial" w:hAnsi="Arial" w:cs="Arial"/>
        </w:rPr>
        <w:t xml:space="preserve"> – výdaje na pojištění domu, úklid venkovních i vnitřních prostor domu, opravy či údržbu výtahu, energie spotřebované ve společných částech domu. </w:t>
      </w:r>
    </w:p>
    <w:p w14:paraId="18DB6063" w14:textId="77777777" w:rsidR="006E4E83" w:rsidRPr="00232570" w:rsidRDefault="006E4E83" w:rsidP="00232570">
      <w:pPr>
        <w:jc w:val="both"/>
        <w:rPr>
          <w:rFonts w:ascii="Arial" w:hAnsi="Arial" w:cs="Arial"/>
        </w:rPr>
      </w:pPr>
      <w:r w:rsidRPr="00232570">
        <w:rPr>
          <w:rFonts w:ascii="Arial" w:hAnsi="Arial" w:cs="Arial"/>
          <w:b/>
        </w:rPr>
        <w:t>Nepřímé výdaje</w:t>
      </w:r>
      <w:r w:rsidRPr="00232570">
        <w:rPr>
          <w:rFonts w:ascii="Arial" w:hAnsi="Arial" w:cs="Arial"/>
        </w:rPr>
        <w:t xml:space="preserve"> – výdaje, které nelze přímo přiřadit k určitému výkonu (výrobku, službě), nýbrž je nutné je určitým způsobem rozpočítávat. Do kalkulace vstupuje maximálně 15 % z výdajů na úhradu SOHZ sociální bydlení. </w:t>
      </w:r>
    </w:p>
    <w:p w14:paraId="68E05868" w14:textId="77777777" w:rsidR="006E4E83" w:rsidRPr="00232570" w:rsidRDefault="006E4E83" w:rsidP="00232570">
      <w:pPr>
        <w:jc w:val="both"/>
        <w:rPr>
          <w:rFonts w:ascii="Arial" w:hAnsi="Arial" w:cs="Arial"/>
        </w:rPr>
      </w:pPr>
      <w:r w:rsidRPr="00232570">
        <w:rPr>
          <w:rFonts w:ascii="Arial" w:hAnsi="Arial" w:cs="Arial"/>
          <w:b/>
        </w:rPr>
        <w:t>Přiměřený zisk</w:t>
      </w:r>
      <w:r w:rsidRPr="00232570">
        <w:rPr>
          <w:rFonts w:ascii="Arial" w:hAnsi="Arial" w:cs="Arial"/>
        </w:rPr>
        <w:t xml:space="preserve"> – aktuální swapová sazba navýšená o 100 bazických bodů. </w:t>
      </w:r>
    </w:p>
    <w:p w14:paraId="4CD71527" w14:textId="77777777" w:rsidR="006E4E83" w:rsidRPr="00370C2C" w:rsidRDefault="006E4E83" w:rsidP="00232570">
      <w:pPr>
        <w:pStyle w:val="Nadpis1"/>
        <w:rPr>
          <w:rFonts w:ascii="Arial" w:hAnsi="Arial" w:cs="Arial"/>
        </w:rPr>
      </w:pPr>
      <w:r w:rsidRPr="00370C2C">
        <w:rPr>
          <w:rFonts w:ascii="Arial" w:hAnsi="Arial" w:cs="Arial"/>
        </w:rPr>
        <w:t>Provozní příjmy</w:t>
      </w:r>
    </w:p>
    <w:p w14:paraId="12120775" w14:textId="77777777" w:rsidR="006E4E83" w:rsidRPr="00232570" w:rsidRDefault="006E4E83" w:rsidP="00232570">
      <w:pPr>
        <w:jc w:val="both"/>
        <w:rPr>
          <w:rFonts w:ascii="Arial" w:hAnsi="Arial" w:cs="Arial"/>
        </w:rPr>
      </w:pPr>
      <w:r w:rsidRPr="00232570">
        <w:rPr>
          <w:rFonts w:ascii="Arial" w:hAnsi="Arial" w:cs="Arial"/>
          <w:b/>
        </w:rPr>
        <w:t>Vybrané nájemné, vybrané platby za služby</w:t>
      </w:r>
      <w:r w:rsidRPr="00232570">
        <w:rPr>
          <w:rFonts w:ascii="Arial" w:hAnsi="Arial" w:cs="Arial"/>
        </w:rPr>
        <w:t xml:space="preserve"> – suma vybraného nájemného a plateb za služby. Sjednané nájemné nesmí překročit limit stanovený MMR ve výši </w:t>
      </w:r>
      <w:r w:rsidRPr="00BD477A">
        <w:rPr>
          <w:rFonts w:ascii="Arial" w:hAnsi="Arial" w:cs="Arial"/>
          <w:b/>
          <w:bCs/>
        </w:rPr>
        <w:t>78,2 Kč/m</w:t>
      </w:r>
      <w:r w:rsidRPr="00BD477A">
        <w:rPr>
          <w:rFonts w:ascii="Arial" w:hAnsi="Arial" w:cs="Arial"/>
          <w:b/>
          <w:bCs/>
          <w:vertAlign w:val="superscript"/>
        </w:rPr>
        <w:t>2</w:t>
      </w:r>
      <w:r w:rsidRPr="00232570">
        <w:rPr>
          <w:rFonts w:ascii="Arial" w:hAnsi="Arial" w:cs="Arial"/>
          <w:vertAlign w:val="superscript"/>
        </w:rPr>
        <w:t xml:space="preserve"> </w:t>
      </w:r>
      <w:r w:rsidRPr="00232570">
        <w:rPr>
          <w:rFonts w:ascii="Arial" w:hAnsi="Arial" w:cs="Arial"/>
        </w:rPr>
        <w:t xml:space="preserve">podlahové plochy bytu, resp. vyšší limit, pokud bude v budoucnu ze strany MMR stanoven. Informace o limitu jsou k dispozici na webu MMR - </w:t>
      </w:r>
      <w:hyperlink r:id="rId13" w:history="1">
        <w:r w:rsidRPr="00232570">
          <w:rPr>
            <w:rStyle w:val="Hypertextovodkaz"/>
            <w:rFonts w:ascii="Arial" w:hAnsi="Arial" w:cs="Arial"/>
          </w:rPr>
          <w:t>https://www.mmr.cz/cs/ministerstvo/bytova-politika/programy-dotace/metodika-pro-uzavirani-najemnich-smluv-k-podporova/najemne-v-bytech,-na-jejichz-vystavbu-byla-poskytn</w:t>
        </w:r>
      </w:hyperlink>
    </w:p>
    <w:p w14:paraId="5A79C729" w14:textId="77777777" w:rsidR="006E4E83" w:rsidRPr="00232570" w:rsidRDefault="006E4E83" w:rsidP="00232570">
      <w:pPr>
        <w:jc w:val="both"/>
        <w:rPr>
          <w:rFonts w:ascii="Arial" w:hAnsi="Arial" w:cs="Arial"/>
        </w:rPr>
      </w:pPr>
      <w:r w:rsidRPr="00232570">
        <w:rPr>
          <w:rFonts w:ascii="Arial" w:hAnsi="Arial" w:cs="Arial"/>
          <w:b/>
        </w:rPr>
        <w:t>Další dotační tituly, jiné podpory z veřejných zdrojů</w:t>
      </w:r>
      <w:r w:rsidRPr="00232570">
        <w:rPr>
          <w:rFonts w:ascii="Arial" w:hAnsi="Arial" w:cs="Arial"/>
        </w:rPr>
        <w:t xml:space="preserve"> – příjmy z dotací a dalších veřejných zdrojů, přímo určené na sociální byty a doprovodné služby pořízené z projektu IROP. </w:t>
      </w:r>
    </w:p>
    <w:p w14:paraId="33A45CA3" w14:textId="77777777" w:rsidR="006E4E83" w:rsidRPr="00232570" w:rsidRDefault="006E4E83" w:rsidP="00232570">
      <w:pPr>
        <w:jc w:val="both"/>
        <w:rPr>
          <w:rFonts w:ascii="Arial" w:hAnsi="Arial" w:cs="Arial"/>
          <w:b/>
        </w:rPr>
      </w:pPr>
      <w:r w:rsidRPr="00232570">
        <w:rPr>
          <w:rFonts w:ascii="Arial" w:hAnsi="Arial" w:cs="Arial"/>
          <w:b/>
        </w:rPr>
        <w:lastRenderedPageBreak/>
        <w:t xml:space="preserve">Jiné peněžní a nepeněžní příjmy </w:t>
      </w:r>
      <w:r w:rsidRPr="00232570">
        <w:rPr>
          <w:rFonts w:ascii="Arial" w:hAnsi="Arial" w:cs="Arial"/>
          <w:bCs/>
        </w:rPr>
        <w:t>–</w:t>
      </w:r>
      <w:r w:rsidRPr="00232570">
        <w:rPr>
          <w:rFonts w:ascii="Arial" w:hAnsi="Arial" w:cs="Arial"/>
          <w:b/>
        </w:rPr>
        <w:t xml:space="preserve"> </w:t>
      </w:r>
      <w:r w:rsidRPr="00232570">
        <w:rPr>
          <w:rFonts w:ascii="Arial" w:hAnsi="Arial" w:cs="Arial"/>
        </w:rPr>
        <w:t>peněžní a nepeněžní příjmy plynoucí z činnosti poskytování SOHZ sociální bydlení (např. úroky z vedení bankovních účtů)</w:t>
      </w:r>
      <w:r w:rsidRPr="00232570">
        <w:rPr>
          <w:rFonts w:ascii="Arial" w:hAnsi="Arial" w:cs="Arial"/>
          <w:b/>
        </w:rPr>
        <w:t xml:space="preserve">. </w:t>
      </w:r>
    </w:p>
    <w:p w14:paraId="6A5E681F" w14:textId="4DEFEAA3" w:rsidR="006E4E83" w:rsidRPr="00232570" w:rsidRDefault="006E4E83" w:rsidP="00232570">
      <w:pPr>
        <w:jc w:val="both"/>
        <w:rPr>
          <w:rFonts w:ascii="Arial" w:hAnsi="Arial" w:cs="Arial"/>
        </w:rPr>
      </w:pPr>
      <w:r w:rsidRPr="00232570">
        <w:rPr>
          <w:rFonts w:ascii="Arial" w:hAnsi="Arial" w:cs="Arial"/>
          <w:b/>
        </w:rPr>
        <w:t>Z</w:t>
      </w:r>
      <w:r w:rsidR="00A92559">
        <w:rPr>
          <w:rFonts w:ascii="Arial" w:hAnsi="Arial" w:cs="Arial"/>
          <w:b/>
        </w:rPr>
        <w:t>ůstatková</w:t>
      </w:r>
      <w:r w:rsidRPr="00232570">
        <w:rPr>
          <w:rFonts w:ascii="Arial" w:hAnsi="Arial" w:cs="Arial"/>
          <w:b/>
        </w:rPr>
        <w:t xml:space="preserve"> hodnota investice</w:t>
      </w:r>
      <w:r w:rsidRPr="00232570">
        <w:rPr>
          <w:rFonts w:ascii="Arial" w:hAnsi="Arial" w:cs="Arial"/>
        </w:rPr>
        <w:t xml:space="preserve"> – žadatel o podporu vyplňuje na listu </w:t>
      </w:r>
      <w:r w:rsidRPr="00232570">
        <w:rPr>
          <w:rFonts w:ascii="Arial" w:hAnsi="Arial" w:cs="Arial"/>
          <w:i/>
        </w:rPr>
        <w:t>Vstupní data</w:t>
      </w:r>
      <w:r w:rsidRPr="00232570">
        <w:rPr>
          <w:rFonts w:ascii="Arial" w:hAnsi="Arial" w:cs="Arial"/>
        </w:rPr>
        <w:t xml:space="preserve"> zůstatkovou hodnotu investice pořízených aktiv ve 20. roce užívání. Případné technické zhodnocení investice je nutné zohlednit v zůstatkové hodnotě, vzhledem ke skutečnosti, že dojde k prodloužení doby odepisování. Uvádí se zůstatková hodnota investice za celkové způsobilé výdaje hrazené z dotace ve 20. roce užívání v podobě daňových odpisů. </w:t>
      </w:r>
      <w:r w:rsidRPr="00232570">
        <w:rPr>
          <w:rFonts w:ascii="Arial" w:hAnsi="Arial" w:cs="Arial"/>
          <w:b/>
        </w:rPr>
        <w:t>Hodnota automaticky vypočtena.</w:t>
      </w:r>
    </w:p>
    <w:p w14:paraId="14A8E19C" w14:textId="77777777" w:rsidR="006E4E83" w:rsidRPr="00232570" w:rsidRDefault="006E4E83" w:rsidP="00232570">
      <w:pPr>
        <w:jc w:val="both"/>
        <w:rPr>
          <w:rFonts w:ascii="Arial" w:hAnsi="Arial" w:cs="Arial"/>
        </w:rPr>
      </w:pPr>
      <w:r w:rsidRPr="00232570">
        <w:rPr>
          <w:rFonts w:ascii="Arial" w:hAnsi="Arial" w:cs="Arial"/>
          <w:b/>
        </w:rPr>
        <w:t>Dotace EU a ČR (Kč)</w:t>
      </w:r>
      <w:r w:rsidRPr="00232570">
        <w:rPr>
          <w:rFonts w:ascii="Arial" w:hAnsi="Arial" w:cs="Arial"/>
        </w:rPr>
        <w:t xml:space="preserve"> – příjmy z dotací a dalších veřejných zdrojů mimo dotaci obdrženou v rámci IROP. </w:t>
      </w:r>
    </w:p>
    <w:p w14:paraId="14BD4577" w14:textId="77777777" w:rsidR="006E4E83" w:rsidRPr="00232570" w:rsidRDefault="006E4E83" w:rsidP="00232570">
      <w:pPr>
        <w:jc w:val="both"/>
        <w:rPr>
          <w:rFonts w:ascii="Arial" w:hAnsi="Arial" w:cs="Arial"/>
        </w:rPr>
      </w:pPr>
      <w:r w:rsidRPr="00232570">
        <w:rPr>
          <w:rFonts w:ascii="Arial" w:hAnsi="Arial" w:cs="Arial"/>
          <w:b/>
        </w:rPr>
        <w:t>Doba pověření (v letech)</w:t>
      </w:r>
      <w:r w:rsidRPr="00232570">
        <w:rPr>
          <w:rFonts w:ascii="Arial" w:hAnsi="Arial" w:cs="Arial"/>
        </w:rPr>
        <w:t xml:space="preserve"> – </w:t>
      </w:r>
      <w:r w:rsidRPr="00232570">
        <w:rPr>
          <w:rFonts w:ascii="Arial" w:hAnsi="Arial" w:cs="Arial"/>
          <w:b/>
        </w:rPr>
        <w:t xml:space="preserve">Doba pověření výkonu SOHZ sociálního bydlení v souladu s podmínkami výzvy je stanovena na 20 let. </w:t>
      </w:r>
    </w:p>
    <w:p w14:paraId="316622BA" w14:textId="38D74104" w:rsidR="006E4E83" w:rsidRPr="00232570" w:rsidRDefault="006E4E83" w:rsidP="00232570">
      <w:pPr>
        <w:jc w:val="both"/>
        <w:rPr>
          <w:rFonts w:ascii="Arial" w:hAnsi="Arial" w:cs="Arial"/>
        </w:rPr>
      </w:pPr>
      <w:r w:rsidRPr="00232570">
        <w:rPr>
          <w:rFonts w:ascii="Arial" w:hAnsi="Arial" w:cs="Arial"/>
          <w:b/>
        </w:rPr>
        <w:t xml:space="preserve">Průměrné </w:t>
      </w:r>
      <w:r w:rsidR="00370C2C">
        <w:rPr>
          <w:rFonts w:ascii="Arial" w:hAnsi="Arial" w:cs="Arial"/>
          <w:b/>
        </w:rPr>
        <w:t>přímé</w:t>
      </w:r>
      <w:r w:rsidRPr="00232570">
        <w:rPr>
          <w:rFonts w:ascii="Arial" w:hAnsi="Arial" w:cs="Arial"/>
          <w:b/>
        </w:rPr>
        <w:t xml:space="preserve"> výdaje na hlavní aktivitu (Kč/m</w:t>
      </w:r>
      <w:r w:rsidRPr="00232570">
        <w:rPr>
          <w:rFonts w:ascii="Arial" w:hAnsi="Arial" w:cs="Arial"/>
          <w:b/>
          <w:vertAlign w:val="superscript"/>
        </w:rPr>
        <w:t>2</w:t>
      </w:r>
      <w:r w:rsidRPr="00232570">
        <w:rPr>
          <w:rFonts w:ascii="Arial" w:hAnsi="Arial" w:cs="Arial"/>
          <w:b/>
        </w:rPr>
        <w:t>)</w:t>
      </w:r>
      <w:r w:rsidRPr="00232570">
        <w:rPr>
          <w:rFonts w:ascii="Arial" w:hAnsi="Arial" w:cs="Arial"/>
        </w:rPr>
        <w:t xml:space="preserve"> - výpočet průměrných </w:t>
      </w:r>
      <w:r w:rsidR="00370C2C">
        <w:rPr>
          <w:rFonts w:ascii="Arial" w:hAnsi="Arial" w:cs="Arial"/>
        </w:rPr>
        <w:t>přímých</w:t>
      </w:r>
      <w:r w:rsidRPr="00232570">
        <w:rPr>
          <w:rFonts w:ascii="Arial" w:hAnsi="Arial" w:cs="Arial"/>
        </w:rPr>
        <w:t xml:space="preserve"> výdajů na hlavní aktivitu na 1 m</w:t>
      </w:r>
      <w:r w:rsidRPr="00232570">
        <w:rPr>
          <w:rFonts w:ascii="Arial" w:hAnsi="Arial" w:cs="Arial"/>
          <w:vertAlign w:val="superscript"/>
        </w:rPr>
        <w:t>2</w:t>
      </w:r>
      <w:r w:rsidRPr="00232570">
        <w:rPr>
          <w:rFonts w:ascii="Arial" w:hAnsi="Arial" w:cs="Arial"/>
        </w:rPr>
        <w:t xml:space="preserve">, které nesmí přesáhnout </w:t>
      </w:r>
      <w:r w:rsidRPr="00BD477A">
        <w:rPr>
          <w:rFonts w:ascii="Arial" w:hAnsi="Arial" w:cs="Arial"/>
        </w:rPr>
        <w:t xml:space="preserve">částku </w:t>
      </w:r>
      <w:r w:rsidR="00723FBA" w:rsidRPr="00BD477A">
        <w:rPr>
          <w:rFonts w:ascii="Arial" w:hAnsi="Arial" w:cs="Arial"/>
          <w:b/>
          <w:bCs/>
        </w:rPr>
        <w:t>56 018</w:t>
      </w:r>
      <w:r w:rsidR="00723FBA" w:rsidRPr="00BD477A">
        <w:rPr>
          <w:rFonts w:ascii="Arial" w:hAnsi="Arial" w:cs="Arial"/>
          <w:b/>
          <w:bCs/>
          <w:sz w:val="20"/>
          <w:szCs w:val="20"/>
        </w:rPr>
        <w:t> </w:t>
      </w:r>
      <w:r w:rsidRPr="00BD477A">
        <w:rPr>
          <w:rFonts w:ascii="Arial" w:hAnsi="Arial" w:cs="Arial"/>
        </w:rPr>
        <w:t>Kč</w:t>
      </w:r>
      <w:r w:rsidRPr="00232570">
        <w:rPr>
          <w:rFonts w:ascii="Arial" w:hAnsi="Arial" w:cs="Arial"/>
        </w:rPr>
        <w:t>.</w:t>
      </w:r>
    </w:p>
    <w:p w14:paraId="23963DBD" w14:textId="77777777" w:rsidR="006E4E83" w:rsidRPr="00232570" w:rsidRDefault="006E4E83" w:rsidP="00232570">
      <w:pPr>
        <w:spacing w:after="0"/>
        <w:jc w:val="both"/>
        <w:rPr>
          <w:rFonts w:ascii="Arial" w:hAnsi="Arial" w:cs="Arial"/>
          <w:b/>
        </w:rPr>
      </w:pPr>
      <w:r w:rsidRPr="00232570">
        <w:rPr>
          <w:rFonts w:ascii="Arial" w:hAnsi="Arial" w:cs="Arial"/>
          <w:b/>
        </w:rPr>
        <w:t>Diskontní sazba</w:t>
      </w:r>
      <w:r w:rsidRPr="00232570">
        <w:rPr>
          <w:rFonts w:ascii="Arial" w:hAnsi="Arial" w:cs="Arial"/>
        </w:rPr>
        <w:t xml:space="preserve"> – sazbu stanovil pověřovatel dle aktuálně schválené diskontní sazby Evropskou komisí. </w:t>
      </w:r>
    </w:p>
    <w:p w14:paraId="5ED8D52E" w14:textId="77777777" w:rsidR="006E4E83" w:rsidRPr="00232570" w:rsidRDefault="006E4E83" w:rsidP="00232570">
      <w:pPr>
        <w:jc w:val="both"/>
        <w:rPr>
          <w:rFonts w:ascii="Arial" w:hAnsi="Arial" w:cs="Arial"/>
        </w:rPr>
      </w:pPr>
      <w:r w:rsidRPr="00232570">
        <w:rPr>
          <w:rFonts w:ascii="Arial" w:hAnsi="Arial" w:cs="Arial"/>
          <w:b/>
        </w:rPr>
        <w:t>Diskontní sazba bude využita vždy aktuální dle úpravy Sdělení o revizi metody stanovování referenčních a diskontních sazeb (Úřední věstník C 14, 19. 1. 2008, str. 6</w:t>
      </w:r>
      <w:r w:rsidRPr="00232570">
        <w:rPr>
          <w:rStyle w:val="Znakapoznpodarou"/>
          <w:rFonts w:ascii="Arial" w:hAnsi="Arial" w:cs="Arial"/>
          <w:b/>
        </w:rPr>
        <w:footnoteReference w:id="1"/>
      </w:r>
      <w:r w:rsidRPr="00232570">
        <w:rPr>
          <w:rFonts w:ascii="Arial" w:hAnsi="Arial" w:cs="Arial"/>
          <w:b/>
        </w:rPr>
        <w:t>.</w:t>
      </w:r>
      <w:r w:rsidR="00370C2C">
        <w:rPr>
          <w:rFonts w:ascii="Arial" w:hAnsi="Arial" w:cs="Arial"/>
          <w:b/>
        </w:rPr>
        <w:t>)</w:t>
      </w:r>
    </w:p>
    <w:p w14:paraId="0A37501D" w14:textId="77777777" w:rsidR="006E4E83" w:rsidRPr="00232570" w:rsidRDefault="006E4E83" w:rsidP="006E4E83">
      <w:pPr>
        <w:rPr>
          <w:rFonts w:ascii="Arial" w:hAnsi="Arial" w:cs="Arial"/>
        </w:rPr>
      </w:pPr>
    </w:p>
    <w:sectPr w:rsidR="006E4E83" w:rsidRPr="00232570" w:rsidSect="00A54B10">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5A809" w14:textId="77777777" w:rsidR="006E4E83" w:rsidRDefault="006E4E83" w:rsidP="006E4E83">
      <w:pPr>
        <w:spacing w:after="0" w:line="240" w:lineRule="auto"/>
      </w:pPr>
      <w:r>
        <w:separator/>
      </w:r>
    </w:p>
  </w:endnote>
  <w:endnote w:type="continuationSeparator" w:id="0">
    <w:p w14:paraId="5A39BBE3" w14:textId="77777777" w:rsidR="006E4E83" w:rsidRDefault="006E4E83" w:rsidP="006E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554234"/>
      <w:docPartObj>
        <w:docPartGallery w:val="Page Numbers (Bottom of Page)"/>
        <w:docPartUnique/>
      </w:docPartObj>
    </w:sdtPr>
    <w:sdtEndPr/>
    <w:sdtContent>
      <w:p w14:paraId="0EB546F9" w14:textId="459B626B" w:rsidR="00943927" w:rsidRDefault="00943927">
        <w:pPr>
          <w:pStyle w:val="Zpat"/>
          <w:jc w:val="right"/>
        </w:pPr>
        <w:r>
          <w:fldChar w:fldCharType="begin"/>
        </w:r>
        <w:r>
          <w:instrText>PAGE   \* MERGEFORMAT</w:instrText>
        </w:r>
        <w:r>
          <w:fldChar w:fldCharType="separate"/>
        </w:r>
        <w:r w:rsidR="00DB6402">
          <w:rPr>
            <w:noProof/>
          </w:rPr>
          <w:t>4</w:t>
        </w:r>
        <w:r>
          <w:fldChar w:fldCharType="end"/>
        </w:r>
      </w:p>
    </w:sdtContent>
  </w:sdt>
  <w:p w14:paraId="0E27B00A" w14:textId="77777777" w:rsidR="00943927" w:rsidRDefault="009439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3D3EC" w14:textId="77777777" w:rsidR="006E4E83" w:rsidRDefault="006E4E83" w:rsidP="006E4E83">
      <w:pPr>
        <w:spacing w:after="0" w:line="240" w:lineRule="auto"/>
      </w:pPr>
      <w:r>
        <w:separator/>
      </w:r>
    </w:p>
  </w:footnote>
  <w:footnote w:type="continuationSeparator" w:id="0">
    <w:p w14:paraId="0D0B940D" w14:textId="77777777" w:rsidR="006E4E83" w:rsidRDefault="006E4E83" w:rsidP="006E4E83">
      <w:pPr>
        <w:spacing w:after="0" w:line="240" w:lineRule="auto"/>
      </w:pPr>
      <w:r>
        <w:continuationSeparator/>
      </w:r>
    </w:p>
  </w:footnote>
  <w:footnote w:id="1">
    <w:p w14:paraId="30714EE2" w14:textId="77777777" w:rsidR="006E4E83" w:rsidRDefault="006E4E83" w:rsidP="006E4E83">
      <w:pPr>
        <w:pStyle w:val="Textpoznpodarou"/>
      </w:pPr>
      <w:r w:rsidRPr="007255B6">
        <w:rPr>
          <w:rStyle w:val="Znakapoznpodarou"/>
        </w:rPr>
        <w:footnoteRef/>
      </w:r>
      <w:r w:rsidRPr="007255B6">
        <w:t xml:space="preserve"> http://ec.europa.eu/competition/state_aid/legislation/reference_rates.html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B6C7B" w14:textId="77777777" w:rsidR="00943927" w:rsidRDefault="00943927" w:rsidP="008A17FD">
    <w:pPr>
      <w:pStyle w:val="Zhlav"/>
      <w:jc w:val="center"/>
    </w:pPr>
  </w:p>
  <w:p w14:paraId="02EB378F" w14:textId="77777777" w:rsidR="00943927" w:rsidRDefault="009439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8F396" w14:textId="77777777" w:rsidR="00A54B10" w:rsidRDefault="00A54B10">
    <w:pPr>
      <w:pStyle w:val="Zhlav"/>
    </w:pPr>
    <w:r>
      <w:rPr>
        <w:noProof/>
        <w:lang w:eastAsia="cs-CZ"/>
      </w:rPr>
      <w:drawing>
        <wp:inline distT="0" distB="0" distL="0" distR="0" wp14:anchorId="7BA645F4" wp14:editId="07777777">
          <wp:extent cx="5760720" cy="694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B091B"/>
    <w:multiLevelType w:val="hybridMultilevel"/>
    <w:tmpl w:val="F6F49F5C"/>
    <w:lvl w:ilvl="0" w:tplc="7CDEBA94">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0590C8B"/>
    <w:multiLevelType w:val="hybridMultilevel"/>
    <w:tmpl w:val="23D03938"/>
    <w:lvl w:ilvl="0" w:tplc="4E8A7D8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E83"/>
    <w:rsid w:val="00023067"/>
    <w:rsid w:val="00103024"/>
    <w:rsid w:val="00182806"/>
    <w:rsid w:val="00232570"/>
    <w:rsid w:val="0023489D"/>
    <w:rsid w:val="00370C2C"/>
    <w:rsid w:val="00544908"/>
    <w:rsid w:val="006E4E83"/>
    <w:rsid w:val="00723FBA"/>
    <w:rsid w:val="008B4FD1"/>
    <w:rsid w:val="00943927"/>
    <w:rsid w:val="00A54B10"/>
    <w:rsid w:val="00A92559"/>
    <w:rsid w:val="00BD477A"/>
    <w:rsid w:val="00CB604D"/>
    <w:rsid w:val="00D67B70"/>
    <w:rsid w:val="00DB6402"/>
    <w:rsid w:val="00E71895"/>
    <w:rsid w:val="00EB2DFA"/>
    <w:rsid w:val="1083D0E6"/>
    <w:rsid w:val="1D0B8AB0"/>
    <w:rsid w:val="4B0EDD9C"/>
    <w:rsid w:val="71850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F2C7E7"/>
  <w15:chartTrackingRefBased/>
  <w15:docId w15:val="{ED526D0E-D24C-4027-89CC-EE2F9B20D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4E83"/>
  </w:style>
  <w:style w:type="paragraph" w:styleId="Nadpis1">
    <w:name w:val="heading 1"/>
    <w:basedOn w:val="Normln"/>
    <w:next w:val="Normln"/>
    <w:link w:val="Nadpis1Char"/>
    <w:uiPriority w:val="9"/>
    <w:qFormat/>
    <w:rsid w:val="00232570"/>
    <w:pPr>
      <w:keepNext/>
      <w:keepLines/>
      <w:numPr>
        <w:numId w:val="2"/>
      </w:numPr>
      <w:spacing w:before="240" w:after="0"/>
      <w:outlineLvl w:val="0"/>
    </w:pPr>
    <w:rPr>
      <w:rFonts w:ascii="Cambria" w:eastAsiaTheme="majorEastAsia" w:hAnsi="Cambria" w:cstheme="majorBidi"/>
      <w:b/>
      <w:smallCaps/>
      <w:color w:val="2F5496" w:themeColor="accent1" w:themeShade="BF"/>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qFormat/>
    <w:rsid w:val="006E4E8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Textbubliny">
    <w:name w:val="Balloon Text"/>
    <w:basedOn w:val="Normln"/>
    <w:link w:val="TextbublinyChar"/>
    <w:uiPriority w:val="99"/>
    <w:semiHidden/>
    <w:unhideWhenUsed/>
    <w:rsid w:val="006E4E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4E83"/>
    <w:rPr>
      <w:rFonts w:ascii="Segoe UI" w:hAnsi="Segoe UI" w:cs="Segoe UI"/>
      <w:sz w:val="18"/>
      <w:szCs w:val="18"/>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E4E83"/>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E4E83"/>
    <w:pPr>
      <w:snapToGrid w:val="0"/>
      <w:spacing w:after="0" w:line="271" w:lineRule="auto"/>
      <w:jc w:val="both"/>
    </w:pPr>
    <w:rPr>
      <w:rFonts w:ascii="Arial" w:eastAsiaTheme="minorEastAsia" w:hAnsi="Arial"/>
      <w:sz w:val="18"/>
      <w:szCs w:val="18"/>
      <w:lang w:eastAsia="zh-CN"/>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E4E83"/>
    <w:rPr>
      <w:rFonts w:ascii="Arial" w:eastAsiaTheme="minorEastAsia" w:hAnsi="Arial"/>
      <w:sz w:val="18"/>
      <w:szCs w:val="18"/>
      <w:lang w:eastAsia="zh-CN"/>
    </w:rPr>
  </w:style>
  <w:style w:type="character" w:styleId="Hypertextovodkaz">
    <w:name w:val="Hyperlink"/>
    <w:basedOn w:val="Standardnpsmoodstavce"/>
    <w:uiPriority w:val="99"/>
    <w:qFormat/>
    <w:rsid w:val="006E4E83"/>
    <w:rPr>
      <w:color w:val="0000FF"/>
      <w:u w:val="single"/>
    </w:rPr>
  </w:style>
  <w:style w:type="paragraph" w:styleId="Odstavecseseznamem">
    <w:name w:val="List Paragraph"/>
    <w:aliases w:val="Odstavec_muj,Nad,List Paragraph,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6E4E83"/>
    <w:pPr>
      <w:spacing w:before="120" w:after="120" w:line="271" w:lineRule="auto"/>
      <w:ind w:left="720"/>
      <w:contextualSpacing/>
      <w:jc w:val="both"/>
    </w:pPr>
    <w:rPr>
      <w:rFonts w:ascii="Arial" w:eastAsiaTheme="minorEastAsia" w:hAnsi="Arial"/>
      <w:szCs w:val="20"/>
      <w:lang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List Paragraph compact Char,Normal bullet 2 Char"/>
    <w:link w:val="Odstavecseseznamem"/>
    <w:uiPriority w:val="34"/>
    <w:qFormat/>
    <w:rsid w:val="006E4E83"/>
    <w:rPr>
      <w:rFonts w:ascii="Arial" w:eastAsiaTheme="minorEastAsia" w:hAnsi="Arial"/>
      <w:szCs w:val="20"/>
      <w:lang w:eastAsia="zh-CN"/>
    </w:rPr>
  </w:style>
  <w:style w:type="character" w:customStyle="1" w:styleId="Nadpis1Char">
    <w:name w:val="Nadpis 1 Char"/>
    <w:basedOn w:val="Standardnpsmoodstavce"/>
    <w:link w:val="Nadpis1"/>
    <w:uiPriority w:val="9"/>
    <w:rsid w:val="00232570"/>
    <w:rPr>
      <w:rFonts w:ascii="Cambria" w:eastAsiaTheme="majorEastAsia" w:hAnsi="Cambria" w:cstheme="majorBidi"/>
      <w:b/>
      <w:smallCaps/>
      <w:color w:val="2F5496" w:themeColor="accent1" w:themeShade="BF"/>
      <w:sz w:val="28"/>
      <w:szCs w:val="32"/>
    </w:rPr>
  </w:style>
  <w:style w:type="paragraph" w:styleId="Zhlav">
    <w:name w:val="header"/>
    <w:basedOn w:val="Normln"/>
    <w:link w:val="ZhlavChar"/>
    <w:uiPriority w:val="99"/>
    <w:unhideWhenUsed/>
    <w:rsid w:val="00943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43927"/>
  </w:style>
  <w:style w:type="paragraph" w:styleId="Zpat">
    <w:name w:val="footer"/>
    <w:basedOn w:val="Normln"/>
    <w:link w:val="ZpatChar"/>
    <w:uiPriority w:val="99"/>
    <w:unhideWhenUsed/>
    <w:rsid w:val="00943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943927"/>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D67B70"/>
    <w:rPr>
      <w:b/>
      <w:bCs/>
    </w:rPr>
  </w:style>
  <w:style w:type="character" w:customStyle="1" w:styleId="PedmtkomenteChar">
    <w:name w:val="Předmět komentáře Char"/>
    <w:basedOn w:val="TextkomenteChar"/>
    <w:link w:val="Pedmtkomente"/>
    <w:uiPriority w:val="99"/>
    <w:semiHidden/>
    <w:rsid w:val="00D67B70"/>
    <w:rPr>
      <w:b/>
      <w:bCs/>
      <w:sz w:val="20"/>
      <w:szCs w:val="20"/>
    </w:rPr>
  </w:style>
  <w:style w:type="character" w:styleId="Sledovanodkaz">
    <w:name w:val="FollowedHyperlink"/>
    <w:basedOn w:val="Standardnpsmoodstavce"/>
    <w:uiPriority w:val="99"/>
    <w:semiHidden/>
    <w:unhideWhenUsed/>
    <w:rsid w:val="00BD47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716330">
      <w:bodyDiv w:val="1"/>
      <w:marLeft w:val="0"/>
      <w:marRight w:val="0"/>
      <w:marTop w:val="0"/>
      <w:marBottom w:val="0"/>
      <w:divBdr>
        <w:top w:val="none" w:sz="0" w:space="0" w:color="auto"/>
        <w:left w:val="none" w:sz="0" w:space="0" w:color="auto"/>
        <w:bottom w:val="none" w:sz="0" w:space="0" w:color="auto"/>
        <w:right w:val="none" w:sz="0" w:space="0" w:color="auto"/>
      </w:divBdr>
    </w:div>
    <w:div w:id="205226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mr.cz/cs/ministerstvo/bytova-politika/programy-dotace/metodika-pro-uzavirani-najemnich-smluv-k-podporova/najemne-v-bytech,-na-jejichz-vystavbu-byla-poskyt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ED1326C9-742C-4B36-A3FC-413E17A54315}">
  <ds:schemaRefs>
    <ds:schemaRef ds:uri="http://schemas.microsoft.com/sharepoint/v3/contenttype/forms"/>
  </ds:schemaRefs>
</ds:datastoreItem>
</file>

<file path=customXml/itemProps2.xml><?xml version="1.0" encoding="utf-8"?>
<ds:datastoreItem xmlns:ds="http://schemas.openxmlformats.org/officeDocument/2006/customXml" ds:itemID="{32F9A134-06BE-4870-A01C-34B771158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7E7F9-3E80-4EFC-813E-10F124600684}">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1085</Words>
  <Characters>6408</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Ivana Projsová</cp:lastModifiedBy>
  <cp:revision>18</cp:revision>
  <dcterms:created xsi:type="dcterms:W3CDTF">2022-08-08T08:32:00Z</dcterms:created>
  <dcterms:modified xsi:type="dcterms:W3CDTF">2022-10-12T07:32:00Z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